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A" w:rsidRDefault="0096507A" w:rsidP="0096507A">
      <w:pPr>
        <w:spacing w:after="0" w:line="240" w:lineRule="atLeast"/>
        <w:ind w:left="48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E5A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ПРИЛОЖЕНИЕ</w:t>
      </w:r>
    </w:p>
    <w:p w:rsidR="0096507A" w:rsidRPr="004E5AA9" w:rsidRDefault="0096507A" w:rsidP="0096507A">
      <w:pPr>
        <w:spacing w:after="0" w:line="240" w:lineRule="atLeast"/>
        <w:ind w:left="48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6507A" w:rsidRPr="004E5AA9" w:rsidRDefault="0096507A" w:rsidP="0096507A">
      <w:pPr>
        <w:spacing w:after="0" w:line="240" w:lineRule="atLeast"/>
        <w:ind w:left="48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E5A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УТВЕРЖДЕНО</w:t>
      </w:r>
    </w:p>
    <w:p w:rsidR="0096507A" w:rsidRDefault="0096507A" w:rsidP="0096507A">
      <w:pPr>
        <w:spacing w:after="0" w:line="240" w:lineRule="atLeast"/>
        <w:ind w:left="48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решением Совета Куринского</w:t>
      </w:r>
    </w:p>
    <w:p w:rsidR="00031CC3" w:rsidRDefault="0096507A" w:rsidP="0096507A">
      <w:pPr>
        <w:spacing w:after="0" w:line="240" w:lineRule="atLeast"/>
        <w:ind w:left="48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сельского </w:t>
      </w:r>
      <w:r w:rsidRPr="004E5A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031CC3" w:rsidRDefault="0096507A" w:rsidP="0096507A">
      <w:pPr>
        <w:spacing w:after="0" w:line="240" w:lineRule="atLeast"/>
        <w:ind w:left="482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E5A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96507A" w:rsidRPr="00031CC3" w:rsidRDefault="0096507A" w:rsidP="0096507A">
      <w:pPr>
        <w:spacing w:after="0" w:line="240" w:lineRule="atLeast"/>
        <w:ind w:left="4820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3162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CC3" w:rsidRPr="00031CC3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20</w:t>
      </w:r>
      <w:r w:rsidR="00360681" w:rsidRPr="00031CC3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октября 2020 года</w:t>
      </w:r>
      <w:r w:rsidR="00031CC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31625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№</w:t>
      </w:r>
      <w:r w:rsidR="0036068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360681" w:rsidRPr="00031CC3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49</w:t>
      </w:r>
    </w:p>
    <w:p w:rsidR="0096507A" w:rsidRDefault="0096507A" w:rsidP="0096507A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6507A" w:rsidRPr="004E5AA9" w:rsidRDefault="0096507A" w:rsidP="0096507A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6507A" w:rsidRPr="00546471" w:rsidRDefault="0096507A" w:rsidP="0096507A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МЕТОДИКА</w:t>
      </w:r>
    </w:p>
    <w:p w:rsidR="0096507A" w:rsidRPr="00834526" w:rsidRDefault="0096507A" w:rsidP="0096507A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определение объема </w:t>
      </w:r>
      <w:r w:rsidRPr="008345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иных межбюджетных трансфертов, предоставляемых бюджету муниципального образования Апшеронский район из бюджета</w:t>
      </w:r>
    </w:p>
    <w:p w:rsidR="0096507A" w:rsidRPr="00546471" w:rsidRDefault="0096507A" w:rsidP="0096507A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45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Куринского сельского поселения Апшеронского района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</w:t>
      </w:r>
      <w:r w:rsidRPr="008345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осуществление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части полномочий</w:t>
      </w:r>
      <w:r w:rsidRPr="00546471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Куринского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сельского</w:t>
      </w:r>
      <w:r w:rsidRPr="00546471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 </w:t>
      </w:r>
      <w:r w:rsidRPr="00834526">
        <w:rPr>
          <w:rFonts w:ascii="Times New Roman" w:eastAsia="Times New Roman" w:hAnsi="Times New Roman"/>
          <w:sz w:val="28"/>
          <w:szCs w:val="24"/>
          <w:lang w:eastAsia="ru-RU"/>
        </w:rPr>
        <w:t>Апшеронского</w:t>
      </w:r>
      <w:r w:rsidRPr="00546471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по исполнению</w:t>
      </w:r>
    </w:p>
    <w:p w:rsidR="0096507A" w:rsidRPr="00546471" w:rsidRDefault="0096507A" w:rsidP="0096507A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4647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34526">
        <w:rPr>
          <w:rFonts w:ascii="Times New Roman" w:eastAsia="Times New Roman" w:hAnsi="Times New Roman"/>
          <w:sz w:val="28"/>
          <w:szCs w:val="24"/>
          <w:lang w:eastAsia="ru-RU"/>
        </w:rPr>
        <w:t>бюджета поселения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96507A" w:rsidRPr="004E5AA9" w:rsidRDefault="0096507A" w:rsidP="0096507A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6507A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 Настоящая Методика устанавливает порядок определения объема иных межбюджетных трансфертов, предоставляемых бюджету муниципального образования Апшеронский район из бюджета Куринского сельского поселения Апшеронского района на осуществление части полномочий администрации Куринского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 поселения Апшеронского района по исполнению бюджета поселения.</w:t>
      </w:r>
    </w:p>
    <w:p w:rsidR="0096507A" w:rsidRPr="00AB68E4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 Основным критерием при определении объема иных межбюджетных трансфертов, предоставляемых бюджету муниципального образования Апшеронский район на осуществление части полномочий администрации Куринского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 поселения Апшеронского района по исполнению бюджета поселения, является коэффициент объема работ (к), </w:t>
      </w:r>
      <w:r w:rsidRPr="00546471">
        <w:rPr>
          <w:rFonts w:ascii="Times New Roman" w:hAnsi="Times New Roman"/>
          <w:color w:val="000000"/>
          <w:sz w:val="28"/>
        </w:rPr>
        <w:t xml:space="preserve">равный отношению расходов бюджета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Куринского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</w:t>
      </w:r>
      <w:r w:rsidRPr="00546471">
        <w:rPr>
          <w:rFonts w:ascii="Times New Roman" w:hAnsi="Times New Roman"/>
          <w:color w:val="000000"/>
          <w:sz w:val="28"/>
        </w:rPr>
        <w:t xml:space="preserve"> поселения Апшеронского района (за исключением межбюджетных трансфертов, полученных в форме субсидий, субвенций и иных межбюджетных трансфертов, имеющих целевое назначение) к расходам консолидированного бюджета муниципального образования Апшеронский район в части поселений, входящих в состав муниципального образования Апшеронский район (за исключением межбюджетных трансфертов, полученных в форме субсидий, субвенций и иных межбюджетных трансферт</w:t>
      </w:r>
      <w:r>
        <w:rPr>
          <w:rFonts w:ascii="Times New Roman" w:hAnsi="Times New Roman"/>
          <w:color w:val="000000"/>
          <w:sz w:val="28"/>
        </w:rPr>
        <w:t>ов, имеющих целевое назначение)</w:t>
      </w:r>
      <w:r w:rsidRPr="00AB68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96507A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68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</w:t>
      </w:r>
      <w:r w:rsidRPr="00AB68E4">
        <w:rPr>
          <w:rFonts w:ascii="Times New Roman" w:hAnsi="Times New Roman"/>
          <w:color w:val="000000"/>
          <w:sz w:val="28"/>
        </w:rPr>
        <w:t xml:space="preserve"> Общий объем иных межбюджетных трансфертов </w:t>
      </w:r>
      <w:r w:rsidRPr="00AB68E4">
        <w:rPr>
          <w:rFonts w:ascii="Times New Roman" w:hAnsi="Times New Roman"/>
          <w:sz w:val="28"/>
          <w:szCs w:val="28"/>
        </w:rPr>
        <w:t xml:space="preserve">на осуществление </w:t>
      </w:r>
      <w:r w:rsidRPr="00AB68E4">
        <w:rPr>
          <w:rFonts w:ascii="Times New Roman" w:hAnsi="Times New Roman"/>
          <w:bCs/>
          <w:sz w:val="28"/>
          <w:szCs w:val="28"/>
        </w:rPr>
        <w:t xml:space="preserve">части полномочий администрации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Куринского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сельского</w:t>
      </w:r>
      <w:r w:rsidRPr="00AB68E4">
        <w:rPr>
          <w:rFonts w:ascii="Times New Roman" w:hAnsi="Times New Roman"/>
          <w:bCs/>
          <w:sz w:val="28"/>
          <w:szCs w:val="28"/>
        </w:rPr>
        <w:t xml:space="preserve"> поселения Апшеронского района </w:t>
      </w:r>
      <w:r w:rsidRPr="00AB68E4">
        <w:rPr>
          <w:rFonts w:ascii="Times New Roman" w:hAnsi="Times New Roman"/>
          <w:sz w:val="28"/>
          <w:szCs w:val="28"/>
        </w:rPr>
        <w:t xml:space="preserve">по исполнению бюджета поселения </w:t>
      </w:r>
      <w:r w:rsidRPr="00AB68E4">
        <w:rPr>
          <w:rFonts w:ascii="Times New Roman" w:hAnsi="Times New Roman"/>
          <w:color w:val="000000"/>
          <w:sz w:val="28"/>
        </w:rPr>
        <w:t>определяется по формуле</w:t>
      </w:r>
      <w:r>
        <w:rPr>
          <w:rFonts w:ascii="Times New Roman" w:hAnsi="Times New Roman"/>
          <w:color w:val="000000"/>
          <w:sz w:val="28"/>
        </w:rPr>
        <w:t>:</w:t>
      </w:r>
      <w:r w:rsidRPr="00AB68E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96507A" w:rsidRPr="00AB68E4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6507A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МБТ= Кол. * Норм. *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Коэф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., где:</w:t>
      </w:r>
    </w:p>
    <w:p w:rsidR="004F2BBA" w:rsidRDefault="004F2BB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6507A" w:rsidRPr="00546471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МБТ - объем иных межбюджетных трансфертов на осуществление передаваемой части полномочий, в рублях с округлением до целых сотен рублей;</w:t>
      </w:r>
    </w:p>
    <w:p w:rsidR="0096507A" w:rsidRPr="00546471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Кол. - количество штатных единиц, необходимых для обеспечения исполнения передаваемой части полномочий (1 шт. ед.); </w:t>
      </w:r>
    </w:p>
    <w:p w:rsidR="0096507A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Норм. - норматив потребности в бюджетных ассигнованиях на содержание штатной единицы на осуществление передаваемой части полномочий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96507A" w:rsidRPr="00546471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546471">
        <w:rPr>
          <w:rFonts w:ascii="Times New Roman" w:hAnsi="Times New Roman"/>
          <w:color w:val="000000"/>
          <w:sz w:val="28"/>
        </w:rPr>
        <w:t>Коэф</w:t>
      </w:r>
      <w:proofErr w:type="spellEnd"/>
      <w:r w:rsidRPr="00546471">
        <w:rPr>
          <w:rFonts w:ascii="Times New Roman" w:hAnsi="Times New Roman"/>
          <w:color w:val="000000"/>
          <w:sz w:val="28"/>
        </w:rPr>
        <w:t xml:space="preserve">. - коэффициент объема работ, равный отношению расходов бюджета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Куринского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сельского</w:t>
      </w:r>
      <w:r w:rsidRPr="00546471">
        <w:rPr>
          <w:rFonts w:ascii="Times New Roman" w:hAnsi="Times New Roman"/>
          <w:color w:val="000000"/>
          <w:sz w:val="28"/>
        </w:rPr>
        <w:t xml:space="preserve"> поселения Апшеронского района (за исключением межбюджетных трансфертов, полученных в форме субсидий, субвенций и иных межбюджетных трансфертов, имеющих целевое назначение) к расходам консолидированного бюджета муниципального образования Апшеронский район в части поселений, входящих в состав муниципального образования Апшеронский район (за исключением межбюджетных трансфертов, полученных в форме субсидий, субвенций и иных межбюджетных трансфертов, имеющих целевое назначение)  по состоянию на 1 октября текущего года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96507A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4. Норматив потребности в бюджетных ассигнованиях на осуществление части полномочий по исполнению бюджета поселения рассчитывается Финансовым управлением администрации муниципального образования Апшеронский район исходя из расчетных (планируемых) затрат на содержание штатной единицы. </w:t>
      </w:r>
    </w:p>
    <w:p w:rsidR="0096507A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Норматив потребности в бюджетных ассигнованиях на осуществление части полномочий по исполнению бюджета поселения, а также значения показателей, используемых при расчете, доводятся Финансовым управлением муниципального образования Апшеронский район до администрации Куринского</w:t>
      </w:r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сельского поселения Апшеронского района не позднее чем за 2 месяца до начала очередного финансового года.  </w:t>
      </w:r>
    </w:p>
    <w:p w:rsidR="0096507A" w:rsidRDefault="0096507A" w:rsidP="00965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5. Передаваемые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Куринским</w:t>
      </w:r>
      <w:proofErr w:type="spellEnd"/>
      <w:r w:rsidRPr="0054647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сельским поселением Апшеронского района иные межбюджетные трансферты на осуществление части полномочий</w:t>
      </w:r>
      <w:r w:rsidRPr="008678EC">
        <w:rPr>
          <w:rFonts w:ascii="Times New Roman" w:hAnsi="Times New Roman"/>
          <w:sz w:val="28"/>
          <w:szCs w:val="28"/>
        </w:rPr>
        <w:t xml:space="preserve"> </w:t>
      </w:r>
      <w:r w:rsidRPr="00AB68E4">
        <w:rPr>
          <w:rFonts w:ascii="Times New Roman" w:hAnsi="Times New Roman"/>
          <w:sz w:val="28"/>
          <w:szCs w:val="28"/>
        </w:rPr>
        <w:t>по исполнению бюджета поселения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полном объеме учитываются в доходной части бюджета муниципального образования Апшеронский район и расходуются на содержание финансового органа администрации муниципального образования Апшеронский район.</w:t>
      </w:r>
    </w:p>
    <w:p w:rsidR="0096507A" w:rsidRPr="004E5AA9" w:rsidRDefault="0096507A" w:rsidP="009650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07A" w:rsidRDefault="0096507A" w:rsidP="00965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07A" w:rsidRPr="004E5AA9" w:rsidRDefault="0096507A" w:rsidP="009650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07A" w:rsidRDefault="0096507A" w:rsidP="00965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AA9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031CC3" w:rsidRDefault="0096507A" w:rsidP="0036068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Куринского се</w:t>
      </w:r>
      <w:r w:rsidR="00031CC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льского поселения</w:t>
      </w:r>
    </w:p>
    <w:p w:rsidR="004E5AA9" w:rsidRPr="00206136" w:rsidRDefault="0096507A" w:rsidP="003606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М.В. Усов</w:t>
      </w:r>
    </w:p>
    <w:sectPr w:rsidR="004E5AA9" w:rsidRPr="00206136" w:rsidSect="004F2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9C0"/>
    <w:multiLevelType w:val="hybridMultilevel"/>
    <w:tmpl w:val="139A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450"/>
    <w:multiLevelType w:val="hybridMultilevel"/>
    <w:tmpl w:val="0E902502"/>
    <w:lvl w:ilvl="0" w:tplc="CD420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194"/>
    <w:rsid w:val="00002B49"/>
    <w:rsid w:val="00011BB5"/>
    <w:rsid w:val="00031CC3"/>
    <w:rsid w:val="0004497F"/>
    <w:rsid w:val="00054F96"/>
    <w:rsid w:val="00065194"/>
    <w:rsid w:val="00080467"/>
    <w:rsid w:val="00083A76"/>
    <w:rsid w:val="000B1B4C"/>
    <w:rsid w:val="000B26B8"/>
    <w:rsid w:val="000C1F90"/>
    <w:rsid w:val="000E109D"/>
    <w:rsid w:val="00117207"/>
    <w:rsid w:val="001371C3"/>
    <w:rsid w:val="0013793F"/>
    <w:rsid w:val="00152A81"/>
    <w:rsid w:val="00167549"/>
    <w:rsid w:val="001B5205"/>
    <w:rsid w:val="001D4537"/>
    <w:rsid w:val="001F11FD"/>
    <w:rsid w:val="001F24D7"/>
    <w:rsid w:val="00206136"/>
    <w:rsid w:val="00216A66"/>
    <w:rsid w:val="00250FCC"/>
    <w:rsid w:val="002519F1"/>
    <w:rsid w:val="00292660"/>
    <w:rsid w:val="002A633E"/>
    <w:rsid w:val="002B4191"/>
    <w:rsid w:val="002C0BE8"/>
    <w:rsid w:val="00360681"/>
    <w:rsid w:val="00374F29"/>
    <w:rsid w:val="003851F7"/>
    <w:rsid w:val="00387402"/>
    <w:rsid w:val="004001DD"/>
    <w:rsid w:val="004476B3"/>
    <w:rsid w:val="00473CF7"/>
    <w:rsid w:val="0049335A"/>
    <w:rsid w:val="004B6D02"/>
    <w:rsid w:val="004C25A8"/>
    <w:rsid w:val="004D06B8"/>
    <w:rsid w:val="004E5AA9"/>
    <w:rsid w:val="004F2BBA"/>
    <w:rsid w:val="0054592B"/>
    <w:rsid w:val="00582B46"/>
    <w:rsid w:val="006037B1"/>
    <w:rsid w:val="00603AC2"/>
    <w:rsid w:val="0066329F"/>
    <w:rsid w:val="006B41E3"/>
    <w:rsid w:val="006F5BAB"/>
    <w:rsid w:val="007011AC"/>
    <w:rsid w:val="00722D71"/>
    <w:rsid w:val="00746840"/>
    <w:rsid w:val="007754B2"/>
    <w:rsid w:val="00814556"/>
    <w:rsid w:val="00843024"/>
    <w:rsid w:val="008A6F2E"/>
    <w:rsid w:val="008B2C65"/>
    <w:rsid w:val="008C295A"/>
    <w:rsid w:val="008E03C8"/>
    <w:rsid w:val="0096507A"/>
    <w:rsid w:val="00992E2F"/>
    <w:rsid w:val="00AD0AD9"/>
    <w:rsid w:val="00AD3D78"/>
    <w:rsid w:val="00AE5F3E"/>
    <w:rsid w:val="00B10AAC"/>
    <w:rsid w:val="00B408AF"/>
    <w:rsid w:val="00B46838"/>
    <w:rsid w:val="00B748ED"/>
    <w:rsid w:val="00B81A81"/>
    <w:rsid w:val="00B95B26"/>
    <w:rsid w:val="00BB64EB"/>
    <w:rsid w:val="00BC6273"/>
    <w:rsid w:val="00BF6669"/>
    <w:rsid w:val="00C43F1E"/>
    <w:rsid w:val="00C447F7"/>
    <w:rsid w:val="00C44B39"/>
    <w:rsid w:val="00C547F9"/>
    <w:rsid w:val="00C713D2"/>
    <w:rsid w:val="00C74108"/>
    <w:rsid w:val="00C87A2D"/>
    <w:rsid w:val="00CA301B"/>
    <w:rsid w:val="00CA5EA9"/>
    <w:rsid w:val="00CD7D92"/>
    <w:rsid w:val="00CF112A"/>
    <w:rsid w:val="00D2570B"/>
    <w:rsid w:val="00DF392B"/>
    <w:rsid w:val="00F421E8"/>
    <w:rsid w:val="00F80B44"/>
    <w:rsid w:val="00F82C49"/>
    <w:rsid w:val="00F877EA"/>
    <w:rsid w:val="00F943F7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45</cp:revision>
  <cp:lastPrinted>2020-10-28T10:16:00Z</cp:lastPrinted>
  <dcterms:created xsi:type="dcterms:W3CDTF">2013-10-10T12:33:00Z</dcterms:created>
  <dcterms:modified xsi:type="dcterms:W3CDTF">2020-10-28T11:48:00Z</dcterms:modified>
</cp:coreProperties>
</file>